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bookmarkStart w:id="0" w:name="_GoBack"/>
      <w:bookmarkEnd w:id="0"/>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700" w:lineRule="exact"/>
        <w:ind w:left="2342" w:leftChars="344" w:hanging="1620" w:hangingChars="45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新增土地有偿使用费、土地整理支出、基本农田建设和保护支出（</w:t>
      </w:r>
      <w:r>
        <w:rPr>
          <w:rFonts w:hint="eastAsia" w:ascii="仿宋_GB2312" w:hAnsi="仿宋_GB2312" w:eastAsia="仿宋_GB2312" w:cs="仿宋_GB2312"/>
          <w:kern w:val="0"/>
          <w:sz w:val="36"/>
          <w:szCs w:val="36"/>
          <w:lang w:val="zh-TW" w:eastAsia="zh-TW"/>
        </w:rPr>
        <w:t>农村地籍调查及建设用地使用权确权登记发证工作专项经费</w:t>
      </w:r>
      <w:r>
        <w:rPr>
          <w:rFonts w:hint="eastAsia" w:ascii="仿宋_GB2312" w:hAnsi="仿宋_GB2312" w:eastAsia="仿宋_GB2312" w:cs="仿宋_GB2312"/>
          <w:kern w:val="0"/>
          <w:sz w:val="36"/>
          <w:szCs w:val="36"/>
          <w:lang w:val="zh-TW"/>
        </w:rPr>
        <w:t>）</w:t>
      </w:r>
    </w:p>
    <w:p>
      <w:pPr>
        <w:pStyle w:val="48"/>
        <w:spacing w:line="700" w:lineRule="exact"/>
        <w:ind w:firstLine="720" w:firstLineChars="200"/>
        <w:jc w:val="left"/>
        <w:rPr>
          <w:rFonts w:eastAsia="PMingLiU"/>
          <w:kern w:val="0"/>
          <w:sz w:val="36"/>
          <w:szCs w:val="36"/>
          <w:lang w:val="zh-TW" w:eastAsia="zh-TW"/>
        </w:rPr>
      </w:pPr>
      <w:r>
        <w:rPr>
          <w:rFonts w:ascii="仿宋_GB2312" w:hAnsi="仿宋_GB2312" w:eastAsia="仿宋_GB2312" w:cs="仿宋_GB2312"/>
          <w:kern w:val="0"/>
          <w:sz w:val="36"/>
          <w:szCs w:val="36"/>
          <w:lang w:val="zh-TW" w:eastAsia="zh-TW"/>
        </w:rPr>
        <w:t>实施单位（公章）：英吉沙县国土资源局</w:t>
      </w:r>
    </w:p>
    <w:p>
      <w:pPr>
        <w:pStyle w:val="48"/>
        <w:spacing w:line="700" w:lineRule="exact"/>
        <w:ind w:firstLine="720" w:firstLineChars="200"/>
        <w:jc w:val="left"/>
        <w:rPr>
          <w:rFonts w:eastAsia="PMingLiU"/>
          <w:kern w:val="0"/>
          <w:sz w:val="36"/>
          <w:szCs w:val="36"/>
          <w:lang w:val="zh-TW" w:eastAsia="zh-TW"/>
        </w:rPr>
      </w:pPr>
      <w:r>
        <w:rPr>
          <w:rFonts w:ascii="仿宋_GB2312" w:hAnsi="仿宋_GB2312" w:eastAsia="仿宋_GB2312" w:cs="仿宋_GB2312"/>
          <w:kern w:val="0"/>
          <w:sz w:val="36"/>
          <w:szCs w:val="36"/>
          <w:lang w:val="zh-TW" w:eastAsia="zh-TW"/>
        </w:rPr>
        <w:t>主管部门（公章）：英吉沙县国土资源局</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项目负责人（签章）：刘长路</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w:t>
      </w:r>
      <w:r>
        <w:rPr>
          <w:rFonts w:ascii="仿宋_GB2312" w:hAnsi="仿宋_GB2312" w:eastAsia="PMingLiU" w:cs="仿宋_GB2312"/>
          <w:kern w:val="0"/>
          <w:sz w:val="36"/>
          <w:szCs w:val="36"/>
          <w:lang w:val="zh-TW" w:eastAsia="zh-TW"/>
        </w:rPr>
        <w:t xml:space="preserve"> </w:t>
      </w:r>
      <w:r>
        <w:rPr>
          <w:rFonts w:hint="eastAsia" w:cs="仿宋_GB2312" w:asciiTheme="minorEastAsia" w:hAnsiTheme="minorEastAsia" w:eastAsiaTheme="minorEastAsia"/>
          <w:kern w:val="0"/>
          <w:sz w:val="36"/>
          <w:szCs w:val="36"/>
          <w:lang w:val="zh-TW"/>
        </w:rPr>
        <w:t>2019</w:t>
      </w:r>
      <w:r>
        <w:rPr>
          <w:rFonts w:ascii="仿宋_GB2312" w:hAnsi="仿宋_GB2312" w:eastAsia="仿宋_GB2312" w:cs="仿宋_GB2312"/>
          <w:kern w:val="0"/>
          <w:sz w:val="36"/>
          <w:szCs w:val="36"/>
          <w:lang w:val="zh-TW" w:eastAsia="zh-TW"/>
        </w:rPr>
        <w:t>年</w:t>
      </w:r>
      <w:r>
        <w:rPr>
          <w:rFonts w:hint="eastAsia" w:cs="仿宋_GB2312" w:asciiTheme="minorEastAsia" w:hAnsiTheme="minorEastAsia" w:eastAsiaTheme="minorEastAsia"/>
          <w:kern w:val="0"/>
          <w:sz w:val="36"/>
          <w:szCs w:val="36"/>
          <w:lang w:val="zh-TW"/>
        </w:rPr>
        <w:t>2</w:t>
      </w:r>
      <w:r>
        <w:rPr>
          <w:rFonts w:ascii="仿宋_GB2312" w:hAnsi="仿宋_GB2312" w:eastAsia="PMingLiU" w:cs="仿宋_GB2312"/>
          <w:kern w:val="0"/>
          <w:sz w:val="36"/>
          <w:szCs w:val="36"/>
          <w:lang w:val="zh-TW" w:eastAsia="zh-TW"/>
        </w:rPr>
        <w:t xml:space="preserve"> </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zh-TW"/>
        </w:rPr>
        <w:t>1</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ind w:firstLine="702" w:firstLineChars="225"/>
        <w:rPr>
          <w:rStyle w:val="18"/>
          <w:rFonts w:ascii="仿宋" w:hAnsi="仿宋" w:eastAsia="仿宋"/>
          <w:b w:val="0"/>
          <w:color w:val="FF0000"/>
          <w:spacing w:val="-4"/>
          <w:sz w:val="32"/>
          <w:szCs w:val="32"/>
        </w:rPr>
      </w:pPr>
      <w:r>
        <w:rPr>
          <w:rStyle w:val="18"/>
          <w:rFonts w:hint="eastAsia" w:ascii="仿宋" w:hAnsi="仿宋" w:eastAsia="仿宋"/>
          <w:b w:val="0"/>
          <w:color w:val="FF0000"/>
          <w:spacing w:val="-4"/>
          <w:sz w:val="32"/>
          <w:szCs w:val="32"/>
        </w:rPr>
        <w:t>该项目总投资:718.81万元，项目实施单位共</w:t>
      </w:r>
      <w:r>
        <w:rPr>
          <w:rStyle w:val="18"/>
          <w:rFonts w:ascii="仿宋" w:hAnsi="仿宋" w:eastAsia="仿宋"/>
          <w:b w:val="0"/>
          <w:color w:val="FF0000"/>
          <w:spacing w:val="-4"/>
          <w:sz w:val="32"/>
          <w:szCs w:val="32"/>
        </w:rPr>
        <w:t>1</w:t>
      </w:r>
      <w:r>
        <w:rPr>
          <w:rStyle w:val="18"/>
          <w:rFonts w:hint="eastAsia" w:ascii="仿宋" w:hAnsi="仿宋" w:eastAsia="仿宋"/>
          <w:b w:val="0"/>
          <w:color w:val="FF0000"/>
          <w:spacing w:val="-4"/>
          <w:sz w:val="32"/>
          <w:szCs w:val="32"/>
        </w:rPr>
        <w:t>家：英吉沙县国土资源局。该项目维护农民权益、促进农村社会和谐</w:t>
      </w:r>
      <w:r>
        <w:rPr>
          <w:rStyle w:val="18"/>
          <w:rFonts w:hint="eastAsia" w:ascii="仿宋" w:hAnsi="仿宋" w:eastAsia="仿宋"/>
          <w:b w:val="0"/>
          <w:color w:val="FF0000"/>
          <w:spacing w:val="-4"/>
          <w:sz w:val="32"/>
          <w:szCs w:val="32"/>
          <w:lang w:eastAsia="zh-CN"/>
        </w:rPr>
        <w:t>稳固</w:t>
      </w:r>
      <w:r>
        <w:rPr>
          <w:rStyle w:val="18"/>
          <w:rFonts w:hint="eastAsia" w:ascii="仿宋" w:hAnsi="仿宋" w:eastAsia="仿宋"/>
          <w:b w:val="0"/>
          <w:color w:val="FF0000"/>
          <w:spacing w:val="-4"/>
          <w:sz w:val="32"/>
          <w:szCs w:val="32"/>
        </w:rPr>
        <w:t>的需求；通过农村地籍和房屋调查，能进一步明晰集体土地以及地面构筑物的产权，加快推进不动产登记工作，最终形成产权明晰，全能明确、权益保障的农村集体土地产权制度，全面夯实农村发展基础、促进城乡统筹发展。</w:t>
      </w:r>
    </w:p>
    <w:p>
      <w:pPr>
        <w:ind w:firstLine="705" w:firstLineChars="225"/>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ascii="仿宋" w:hAnsi="仿宋" w:eastAsia="仿宋"/>
          <w:bCs/>
          <w:color w:val="FF0000"/>
          <w:spacing w:val="-4"/>
          <w:sz w:val="32"/>
          <w:szCs w:val="32"/>
        </w:rPr>
      </w:pPr>
      <w:r>
        <w:rPr>
          <w:rFonts w:hint="eastAsia" w:ascii="仿宋" w:hAnsi="仿宋" w:eastAsia="仿宋"/>
          <w:bCs/>
          <w:color w:val="FF0000"/>
          <w:spacing w:val="-4"/>
          <w:sz w:val="32"/>
          <w:szCs w:val="32"/>
        </w:rPr>
        <w:t>完成农村范围内宅基地、集体建设用地使用的权属调查和地籍测量。</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color w:val="FF0000"/>
          <w:spacing w:val="-4"/>
          <w:sz w:val="32"/>
          <w:szCs w:val="32"/>
        </w:rPr>
      </w:pPr>
      <w:r>
        <w:rPr>
          <w:rFonts w:hint="eastAsia" w:ascii="仿宋" w:hAnsi="仿宋" w:eastAsia="仿宋"/>
          <w:bCs/>
          <w:color w:val="FF0000"/>
          <w:spacing w:val="-4"/>
          <w:sz w:val="32"/>
          <w:szCs w:val="32"/>
        </w:rPr>
        <w:t>本项目性质为延续性项目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ascii="仿宋" w:hAnsi="仿宋" w:eastAsia="仿宋"/>
          <w:bCs/>
          <w:color w:val="FF0000"/>
          <w:spacing w:val="-4"/>
          <w:sz w:val="32"/>
          <w:szCs w:val="32"/>
        </w:rPr>
      </w:pPr>
      <w:r>
        <w:rPr>
          <w:rFonts w:ascii="仿宋" w:hAnsi="仿宋" w:eastAsia="仿宋"/>
          <w:bCs/>
          <w:color w:val="FF0000"/>
          <w:spacing w:val="-4"/>
          <w:sz w:val="32"/>
          <w:szCs w:val="32"/>
        </w:rPr>
        <w:t>项目的主要用途</w:t>
      </w:r>
      <w:r>
        <w:rPr>
          <w:rFonts w:hint="eastAsia" w:ascii="仿宋" w:hAnsi="仿宋" w:eastAsia="仿宋"/>
          <w:bCs/>
          <w:color w:val="FF0000"/>
          <w:spacing w:val="-4"/>
          <w:sz w:val="32"/>
          <w:szCs w:val="32"/>
        </w:rPr>
        <w:t>：完成农村范围内宅基地、集体建设用地使用的权属调查和地籍测量。</w:t>
      </w:r>
    </w:p>
    <w:p>
      <w:pPr>
        <w:adjustRightInd w:val="0"/>
        <w:snapToGrid w:val="0"/>
        <w:spacing w:line="56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widowControl/>
        <w:ind w:firstLine="600" w:firstLineChars="200"/>
        <w:rPr>
          <w:rFonts w:ascii="宋体" w:hAnsi="宋体" w:cs="宋体"/>
          <w:color w:val="FF0000"/>
          <w:kern w:val="0"/>
          <w:sz w:val="30"/>
          <w:szCs w:val="30"/>
        </w:rPr>
      </w:pPr>
      <w:r>
        <w:rPr>
          <w:rFonts w:hint="eastAsia" w:ascii="宋体" w:hAnsi="宋体" w:cs="宋体"/>
          <w:color w:val="FF0000"/>
          <w:kern w:val="0"/>
          <w:sz w:val="30"/>
          <w:szCs w:val="30"/>
        </w:rPr>
        <w:t>该项目权属调查组成员使用的汽车租车费1.78万元。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ind w:firstLine="624" w:firstLineChars="200"/>
        <w:rPr>
          <w:rFonts w:ascii="仿宋" w:hAnsi="仿宋" w:eastAsia="仿宋"/>
          <w:bCs/>
          <w:color w:val="FF0000"/>
          <w:spacing w:val="-4"/>
          <w:sz w:val="32"/>
          <w:szCs w:val="32"/>
        </w:rPr>
      </w:pPr>
      <w:r>
        <w:rPr>
          <w:rFonts w:hint="eastAsia" w:ascii="仿宋" w:hAnsi="仿宋" w:eastAsia="仿宋"/>
          <w:bCs/>
          <w:color w:val="FF0000"/>
          <w:spacing w:val="-4"/>
          <w:sz w:val="32"/>
          <w:szCs w:val="32"/>
        </w:rPr>
        <w:t>本项目实际支付资金</w:t>
      </w:r>
      <w:r>
        <w:rPr>
          <w:rFonts w:ascii="仿宋" w:hAnsi="仿宋" w:eastAsia="仿宋"/>
          <w:bCs/>
          <w:color w:val="FF0000"/>
          <w:spacing w:val="-4"/>
          <w:sz w:val="32"/>
          <w:szCs w:val="32"/>
        </w:rPr>
        <w:t>1.78</w:t>
      </w:r>
      <w:r>
        <w:rPr>
          <w:rFonts w:hint="eastAsia" w:ascii="仿宋" w:hAnsi="仿宋" w:eastAsia="仿宋"/>
          <w:bCs/>
          <w:color w:val="FF0000"/>
          <w:spacing w:val="-4"/>
          <w:sz w:val="32"/>
          <w:szCs w:val="32"/>
        </w:rPr>
        <w:t>万元，预算执行率100</w:t>
      </w:r>
      <w:r>
        <w:rPr>
          <w:rFonts w:ascii="仿宋" w:hAnsi="仿宋" w:eastAsia="仿宋"/>
          <w:bCs/>
          <w:color w:val="FF0000"/>
          <w:spacing w:val="-4"/>
          <w:sz w:val="32"/>
          <w:szCs w:val="32"/>
        </w:rPr>
        <w:t xml:space="preserve"> %</w:t>
      </w:r>
      <w:r>
        <w:rPr>
          <w:rFonts w:hint="eastAsia" w:ascii="仿宋" w:hAnsi="仿宋" w:eastAsia="仿宋"/>
          <w:bCs/>
          <w:color w:val="FF0000"/>
          <w:spacing w:val="-4"/>
          <w:sz w:val="32"/>
          <w:szCs w:val="32"/>
        </w:rPr>
        <w:t>。项目资金主要用于权属确认人员23人、租车费1辆50天。</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60" w:lineRule="exact"/>
        <w:ind w:firstLine="624" w:firstLineChars="200"/>
        <w:rPr>
          <w:rFonts w:ascii="仿宋" w:hAnsi="仿宋" w:eastAsia="仿宋"/>
          <w:bCs/>
          <w:color w:val="FF0000"/>
          <w:spacing w:val="-4"/>
          <w:sz w:val="32"/>
          <w:szCs w:val="32"/>
        </w:rPr>
      </w:pPr>
      <w:r>
        <w:rPr>
          <w:rFonts w:ascii="仿宋" w:hAnsi="仿宋" w:eastAsia="仿宋"/>
          <w:bCs/>
          <w:color w:val="FF0000"/>
          <w:spacing w:val="-4"/>
          <w:sz w:val="32"/>
          <w:szCs w:val="32"/>
        </w:rPr>
        <w:t>项目资金拨付由施工单位根据工程进度提出申请，经工程监理单位审查后，报</w:t>
      </w:r>
      <w:r>
        <w:rPr>
          <w:rFonts w:hint="eastAsia" w:ascii="仿宋" w:hAnsi="仿宋" w:eastAsia="仿宋"/>
          <w:bCs/>
          <w:color w:val="FF0000"/>
          <w:spacing w:val="-4"/>
          <w:sz w:val="32"/>
          <w:szCs w:val="32"/>
        </w:rPr>
        <w:t>英吉沙县国土资源局</w:t>
      </w:r>
      <w:r>
        <w:rPr>
          <w:rFonts w:ascii="仿宋" w:hAnsi="仿宋" w:eastAsia="仿宋"/>
          <w:bCs/>
          <w:color w:val="FF0000"/>
          <w:spacing w:val="-4"/>
          <w:sz w:val="32"/>
          <w:szCs w:val="32"/>
        </w:rPr>
        <w:t>审批</w:t>
      </w:r>
      <w:r>
        <w:rPr>
          <w:rFonts w:hint="eastAsia" w:ascii="仿宋" w:hAnsi="仿宋" w:eastAsia="仿宋"/>
          <w:bCs/>
          <w:color w:val="FF0000"/>
          <w:spacing w:val="-4"/>
          <w:sz w:val="32"/>
          <w:szCs w:val="32"/>
        </w:rPr>
        <w:t>支付</w:t>
      </w:r>
      <w:r>
        <w:rPr>
          <w:rFonts w:ascii="仿宋" w:hAnsi="仿宋" w:eastAsia="仿宋"/>
          <w:bCs/>
          <w:color w:val="FF0000"/>
          <w:spacing w:val="-4"/>
          <w:sz w:val="32"/>
          <w:szCs w:val="32"/>
        </w:rPr>
        <w:t>。坚持按照规定的开支范围支出，以不突破投资总额为原则，坚持严把资金流转渠道，层层设立专账，实行一支笔审批；坚持项目资金决算制度，严格资金审计，确保项目资金安全。做到了坚持实行项目资金专款专用，不截留，不挤占挪用。</w:t>
      </w:r>
    </w:p>
    <w:p>
      <w:pPr>
        <w:adjustRightInd w:val="0"/>
        <w:snapToGrid w:val="0"/>
        <w:spacing w:line="560" w:lineRule="exact"/>
        <w:ind w:firstLine="936" w:firstLineChars="3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FF0000"/>
          <w:spacing w:val="-4"/>
          <w:sz w:val="32"/>
          <w:szCs w:val="32"/>
        </w:rPr>
      </w:pPr>
      <w:r>
        <w:rPr>
          <w:rStyle w:val="18"/>
          <w:rFonts w:hint="eastAsia" w:ascii="仿宋" w:hAnsi="仿宋" w:eastAsia="仿宋"/>
          <w:b w:val="0"/>
          <w:color w:val="FF0000"/>
          <w:spacing w:val="-4"/>
          <w:sz w:val="32"/>
          <w:szCs w:val="32"/>
        </w:rPr>
        <w:t>本项目不存在调整情况。为保证项目质量和成本控制，项目实施完成后，由本项目相关人员按工程进度完成检查验收，检查验收合格后按合同规定支付款项。</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482"/>
        <w:rPr>
          <w:rFonts w:ascii="仿宋" w:hAnsi="仿宋" w:eastAsia="仿宋"/>
          <w:bCs/>
          <w:color w:val="FF0000"/>
          <w:spacing w:val="-4"/>
          <w:sz w:val="32"/>
          <w:szCs w:val="32"/>
        </w:rPr>
      </w:pPr>
      <w:r>
        <w:rPr>
          <w:rFonts w:hint="eastAsia" w:ascii="仿宋" w:hAnsi="仿宋" w:eastAsia="仿宋"/>
          <w:bCs/>
          <w:color w:val="FF0000"/>
          <w:spacing w:val="-4"/>
          <w:sz w:val="32"/>
          <w:szCs w:val="32"/>
        </w:rPr>
        <w:t xml:space="preserve"> 项目实施过程中，实行工程建设“六”项制度，即项目法人责任制、工程招投标制、工程监理制、合同制、公告制和审计制。同时还要吸收管理单位和地方政府参加，共同协调、处理规划实施中的有关社会问题。</w:t>
      </w:r>
    </w:p>
    <w:p>
      <w:pPr>
        <w:adjustRightInd w:val="0"/>
        <w:snapToGrid w:val="0"/>
        <w:spacing w:line="560" w:lineRule="exact"/>
        <w:ind w:firstLine="624" w:firstLineChars="20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FF0000"/>
          <w:spacing w:val="-4"/>
          <w:sz w:val="32"/>
          <w:szCs w:val="32"/>
        </w:rPr>
      </w:pPr>
      <w:r>
        <w:rPr>
          <w:rFonts w:ascii="仿宋" w:hAnsi="仿宋" w:eastAsia="仿宋"/>
          <w:bCs/>
          <w:color w:val="FF0000"/>
          <w:spacing w:val="-4"/>
          <w:sz w:val="32"/>
          <w:szCs w:val="32"/>
        </w:rPr>
        <w:t>本项目</w:t>
      </w:r>
      <w:r>
        <w:rPr>
          <w:rFonts w:hint="eastAsia" w:ascii="仿宋" w:hAnsi="仿宋" w:eastAsia="仿宋"/>
          <w:bCs/>
          <w:color w:val="FF0000"/>
          <w:spacing w:val="-4"/>
          <w:sz w:val="32"/>
          <w:szCs w:val="32"/>
        </w:rPr>
        <w:t>指标完成率为100%。</w:t>
      </w:r>
    </w:p>
    <w:p>
      <w:pPr>
        <w:adjustRightInd w:val="0"/>
        <w:snapToGrid w:val="0"/>
        <w:spacing w:line="560" w:lineRule="exact"/>
        <w:ind w:firstLine="627" w:firstLineChars="200"/>
        <w:rPr>
          <w:rFonts w:ascii="仿宋" w:hAnsi="仿宋" w:eastAsia="仿宋"/>
          <w:bCs/>
          <w:color w:val="FF0000"/>
          <w:spacing w:val="-4"/>
          <w:sz w:val="32"/>
          <w:szCs w:val="32"/>
        </w:rPr>
      </w:pPr>
      <w:r>
        <w:rPr>
          <w:rStyle w:val="18"/>
          <w:rFonts w:hint="eastAsia" w:ascii="仿宋" w:hAnsi="仿宋" w:eastAsia="仿宋"/>
          <w:color w:val="FF0000"/>
          <w:spacing w:val="-4"/>
          <w:sz w:val="32"/>
          <w:szCs w:val="32"/>
        </w:rPr>
        <w:t>效益性：</w:t>
      </w:r>
      <w:r>
        <w:rPr>
          <w:rFonts w:hint="eastAsia" w:ascii="仿宋" w:hAnsi="仿宋" w:eastAsia="仿宋"/>
          <w:bCs/>
          <w:color w:val="FF0000"/>
          <w:spacing w:val="-4"/>
          <w:sz w:val="32"/>
          <w:szCs w:val="32"/>
        </w:rPr>
        <w:t>通过农村范围内宅基地、集体建设用地使用的权属调查和地籍测量，确保每宗土地的权属合法，界址清楚，面积清楚。</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Fonts w:hint="eastAsia" w:ascii="仿宋" w:hAnsi="仿宋" w:eastAsia="仿宋"/>
          <w:bCs/>
          <w:color w:val="FF0000"/>
          <w:spacing w:val="-4"/>
          <w:sz w:val="32"/>
          <w:szCs w:val="32"/>
        </w:rPr>
        <w:t>因此项工作涉及到全县农村地籍调查及集体建设用地使用权确权登记发证工作，涉及范围广、任务量大，目前已我县6.9万户居民的房屋和土地测量工作。待权属签字确认工作完成后，经地区及自治区验收，才可进入建立数据库、不动产权证书发证阶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color w:val="FF0000"/>
          <w:spacing w:val="-4"/>
          <w:sz w:val="32"/>
          <w:szCs w:val="32"/>
        </w:rPr>
      </w:pPr>
      <w:r>
        <w:rPr>
          <w:rFonts w:hint="eastAsia" w:ascii="仿宋" w:hAnsi="仿宋" w:eastAsia="仿宋"/>
          <w:bCs/>
          <w:color w:val="FF0000"/>
          <w:spacing w:val="-4"/>
          <w:sz w:val="32"/>
          <w:szCs w:val="32"/>
        </w:rPr>
        <w:t>经农村地籍调查及集体建设用地使用权确权登记发证工作开展以来，已完成6个乡镇71个村3万宗地的权属确认、测绘工作。下一步对剩余7个乡镇85个村3.9万宗地的权属确认、测绘和填写6.9万宗地的地籍调查表，之后进行发证工作。</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color w:val="FF0000"/>
          <w:spacing w:val="-4"/>
          <w:sz w:val="32"/>
          <w:szCs w:val="32"/>
        </w:rPr>
      </w:pPr>
      <w:r>
        <w:rPr>
          <w:rFonts w:hint="eastAsia" w:ascii="仿宋" w:hAnsi="仿宋" w:eastAsia="仿宋"/>
          <w:bCs/>
          <w:color w:val="FF0000"/>
          <w:spacing w:val="-4"/>
          <w:sz w:val="32"/>
          <w:szCs w:val="32"/>
        </w:rPr>
        <w:t>按照立农村地籍调查及集体建设用地使用权确权登记发证工作实施方案的要求，加大宣传动员及培训力度，积极组织，成立了以及领导为组长的督导组。在权属调查技术指导组的领导下各村按村的大小，组织村干部、村民小组长和农民代表，组成权属调查小组，对每户农民宅基地和房屋权属情况进行全面检查。</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p>
    <w:p>
      <w:pPr>
        <w:adjustRightInd w:val="0"/>
        <w:snapToGrid w:val="0"/>
        <w:spacing w:line="560" w:lineRule="exact"/>
        <w:ind w:firstLine="624" w:firstLineChars="200"/>
        <w:rPr>
          <w:rFonts w:ascii="仿宋" w:hAnsi="仿宋" w:eastAsia="仿宋"/>
          <w:bCs/>
          <w:color w:val="FF0000"/>
          <w:spacing w:val="-4"/>
          <w:sz w:val="32"/>
          <w:szCs w:val="32"/>
        </w:rPr>
      </w:pPr>
      <w:r>
        <w:rPr>
          <w:rFonts w:hint="eastAsia" w:ascii="仿宋" w:hAnsi="仿宋" w:eastAsia="仿宋"/>
          <w:bCs/>
          <w:color w:val="FF0000"/>
          <w:spacing w:val="-4"/>
          <w:sz w:val="32"/>
          <w:szCs w:val="32"/>
        </w:rPr>
        <w:t>1.项目承担单位地籍测量工作外业作业人员人数少，进度慢，达不到每个月应完成任务的计划。</w:t>
      </w:r>
    </w:p>
    <w:p>
      <w:pPr>
        <w:spacing w:line="560" w:lineRule="exact"/>
        <w:ind w:firstLine="680" w:firstLineChars="218"/>
        <w:rPr>
          <w:rFonts w:ascii="仿宋" w:hAnsi="仿宋" w:eastAsia="仿宋"/>
          <w:bCs/>
          <w:color w:val="FF0000"/>
          <w:spacing w:val="-4"/>
          <w:sz w:val="32"/>
          <w:szCs w:val="32"/>
        </w:rPr>
      </w:pPr>
      <w:r>
        <w:rPr>
          <w:rFonts w:hint="eastAsia" w:ascii="仿宋" w:hAnsi="仿宋" w:eastAsia="仿宋"/>
          <w:bCs/>
          <w:color w:val="FF0000"/>
          <w:spacing w:val="-4"/>
          <w:sz w:val="32"/>
          <w:szCs w:val="32"/>
        </w:rPr>
        <w:t>2、因此项工作涉及到全县农村地籍调查及集体建设用地使用权确权登记发证工作，涉及范围广、任务量大，目前已我县6.9万户居民的房屋和土地测量工作。待权属签字确认工作完成后，经地区及自治区验收，才可进入建立数据库、不动产权证书发证阶段。</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3、建议</w:t>
      </w:r>
    </w:p>
    <w:p>
      <w:pPr>
        <w:adjustRightInd w:val="0"/>
        <w:snapToGrid w:val="0"/>
        <w:spacing w:line="560" w:lineRule="exact"/>
        <w:ind w:firstLine="624" w:firstLineChars="200"/>
        <w:rPr>
          <w:rFonts w:ascii="仿宋" w:hAnsi="仿宋" w:eastAsia="仿宋"/>
          <w:bCs/>
          <w:color w:val="FF0000"/>
          <w:spacing w:val="-4"/>
          <w:sz w:val="32"/>
          <w:szCs w:val="32"/>
        </w:rPr>
      </w:pPr>
      <w:r>
        <w:rPr>
          <w:rFonts w:ascii="仿宋" w:hAnsi="仿宋" w:eastAsia="仿宋"/>
          <w:bCs/>
          <w:color w:val="FF0000"/>
          <w:spacing w:val="-4"/>
          <w:sz w:val="32"/>
          <w:szCs w:val="32"/>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FF0000"/>
          <w:spacing w:val="-4"/>
          <w:sz w:val="32"/>
          <w:szCs w:val="32"/>
        </w:rPr>
      </w:pPr>
      <w:r>
        <w:rPr>
          <w:rFonts w:hint="eastAsia" w:ascii="仿宋" w:hAnsi="仿宋" w:eastAsia="仿宋"/>
          <w:color w:val="FF0000"/>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bCs/>
          <w:color w:val="FF0000"/>
          <w:spacing w:val="-4"/>
          <w:sz w:val="32"/>
          <w:szCs w:val="32"/>
        </w:rPr>
      </w:pPr>
      <w:r>
        <w:rPr>
          <w:rStyle w:val="18"/>
          <w:rFonts w:hint="eastAsia" w:ascii="仿宋" w:hAnsi="仿宋" w:eastAsia="仿宋"/>
          <w:b w:val="0"/>
          <w:color w:val="FF0000"/>
          <w:spacing w:val="-4"/>
          <w:sz w:val="32"/>
          <w:szCs w:val="32"/>
        </w:rPr>
        <w:t>该项目维护农民权益、促进农村社会和谐</w:t>
      </w:r>
      <w:r>
        <w:rPr>
          <w:rStyle w:val="18"/>
          <w:rFonts w:hint="eastAsia" w:ascii="仿宋" w:hAnsi="仿宋" w:eastAsia="仿宋"/>
          <w:b w:val="0"/>
          <w:color w:val="FF0000"/>
          <w:spacing w:val="-4"/>
          <w:sz w:val="32"/>
          <w:szCs w:val="32"/>
          <w:lang w:eastAsia="zh-CN"/>
        </w:rPr>
        <w:t>稳固</w:t>
      </w:r>
      <w:r>
        <w:rPr>
          <w:rStyle w:val="18"/>
          <w:rFonts w:hint="eastAsia" w:ascii="仿宋" w:hAnsi="仿宋" w:eastAsia="仿宋"/>
          <w:b w:val="0"/>
          <w:color w:val="FF0000"/>
          <w:spacing w:val="-4"/>
          <w:sz w:val="32"/>
          <w:szCs w:val="32"/>
        </w:rPr>
        <w:t>的需求；通过农村地籍和房屋调查，能进一步明晰集体土地以及地面构筑物的产权，加快推进不动产登记工作，最终形成产权明晰，全能明确、权益保障的农村集体土地产权制度，全面夯实农村发展基础、促进城乡统筹发展</w:t>
      </w:r>
      <w:r>
        <w:rPr>
          <w:rFonts w:hint="eastAsia" w:ascii="仿宋" w:hAnsi="仿宋" w:eastAsia="仿宋"/>
          <w:bCs/>
          <w:color w:val="FF0000"/>
          <w:spacing w:val="-4"/>
          <w:sz w:val="32"/>
          <w:szCs w:val="32"/>
        </w:rPr>
        <w:t>。</w:t>
      </w:r>
    </w:p>
    <w:p>
      <w:pPr>
        <w:pStyle w:val="48"/>
        <w:spacing w:line="56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微软雅黑"/>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roman"/>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A2B60"/>
    <w:rsid w:val="000B3BF3"/>
    <w:rsid w:val="0012208E"/>
    <w:rsid w:val="0012736F"/>
    <w:rsid w:val="00135256"/>
    <w:rsid w:val="00163E3E"/>
    <w:rsid w:val="001A4E1F"/>
    <w:rsid w:val="001A57B9"/>
    <w:rsid w:val="001B5A6C"/>
    <w:rsid w:val="001C3847"/>
    <w:rsid w:val="001E4ADD"/>
    <w:rsid w:val="001F3031"/>
    <w:rsid w:val="001F5A49"/>
    <w:rsid w:val="00210A26"/>
    <w:rsid w:val="00214B91"/>
    <w:rsid w:val="002600FE"/>
    <w:rsid w:val="00296EBA"/>
    <w:rsid w:val="002A2083"/>
    <w:rsid w:val="002A2532"/>
    <w:rsid w:val="002A2D76"/>
    <w:rsid w:val="002B35F7"/>
    <w:rsid w:val="002E3262"/>
    <w:rsid w:val="003009E5"/>
    <w:rsid w:val="003513BC"/>
    <w:rsid w:val="00365250"/>
    <w:rsid w:val="0036624C"/>
    <w:rsid w:val="00385849"/>
    <w:rsid w:val="003B1D7E"/>
    <w:rsid w:val="003D0828"/>
    <w:rsid w:val="003D7C71"/>
    <w:rsid w:val="003F39FE"/>
    <w:rsid w:val="00407C94"/>
    <w:rsid w:val="00453191"/>
    <w:rsid w:val="00453195"/>
    <w:rsid w:val="00494A23"/>
    <w:rsid w:val="0050167F"/>
    <w:rsid w:val="00514506"/>
    <w:rsid w:val="005162F1"/>
    <w:rsid w:val="00516E80"/>
    <w:rsid w:val="00535153"/>
    <w:rsid w:val="005740B9"/>
    <w:rsid w:val="00575CFE"/>
    <w:rsid w:val="00583AFC"/>
    <w:rsid w:val="005903C7"/>
    <w:rsid w:val="00592D09"/>
    <w:rsid w:val="005969F3"/>
    <w:rsid w:val="00617852"/>
    <w:rsid w:val="00623130"/>
    <w:rsid w:val="00624BC4"/>
    <w:rsid w:val="006361F0"/>
    <w:rsid w:val="00675D58"/>
    <w:rsid w:val="00693595"/>
    <w:rsid w:val="006A4859"/>
    <w:rsid w:val="006F2E6D"/>
    <w:rsid w:val="007218B8"/>
    <w:rsid w:val="00725CFA"/>
    <w:rsid w:val="00755C6A"/>
    <w:rsid w:val="00764FEE"/>
    <w:rsid w:val="00785FDE"/>
    <w:rsid w:val="0079696E"/>
    <w:rsid w:val="007A0351"/>
    <w:rsid w:val="007A0B30"/>
    <w:rsid w:val="007A14BC"/>
    <w:rsid w:val="007C1025"/>
    <w:rsid w:val="007D257B"/>
    <w:rsid w:val="007D4429"/>
    <w:rsid w:val="007E6845"/>
    <w:rsid w:val="007F5F8A"/>
    <w:rsid w:val="00803764"/>
    <w:rsid w:val="00826CA1"/>
    <w:rsid w:val="00834CB3"/>
    <w:rsid w:val="00835B7F"/>
    <w:rsid w:val="00855E3A"/>
    <w:rsid w:val="008E6AA6"/>
    <w:rsid w:val="00922CB9"/>
    <w:rsid w:val="009300CA"/>
    <w:rsid w:val="009350F7"/>
    <w:rsid w:val="0096134F"/>
    <w:rsid w:val="009B526F"/>
    <w:rsid w:val="009B6A34"/>
    <w:rsid w:val="009C1AFD"/>
    <w:rsid w:val="009E0CB9"/>
    <w:rsid w:val="00A26421"/>
    <w:rsid w:val="00A4293B"/>
    <w:rsid w:val="00A83BD5"/>
    <w:rsid w:val="00A84D9E"/>
    <w:rsid w:val="00A977DF"/>
    <w:rsid w:val="00AE6A23"/>
    <w:rsid w:val="00B06CA5"/>
    <w:rsid w:val="00B41F61"/>
    <w:rsid w:val="00B55332"/>
    <w:rsid w:val="00B708F7"/>
    <w:rsid w:val="00B86E8C"/>
    <w:rsid w:val="00BA5D29"/>
    <w:rsid w:val="00BB1DFB"/>
    <w:rsid w:val="00BB61E3"/>
    <w:rsid w:val="00BE1A00"/>
    <w:rsid w:val="00BE680C"/>
    <w:rsid w:val="00C01D3D"/>
    <w:rsid w:val="00C22CF0"/>
    <w:rsid w:val="00C56C72"/>
    <w:rsid w:val="00C72479"/>
    <w:rsid w:val="00CA6457"/>
    <w:rsid w:val="00CC6B65"/>
    <w:rsid w:val="00CC6E4D"/>
    <w:rsid w:val="00CF1BD9"/>
    <w:rsid w:val="00D17F2E"/>
    <w:rsid w:val="00D32DEF"/>
    <w:rsid w:val="00D34C5B"/>
    <w:rsid w:val="00D46194"/>
    <w:rsid w:val="00D6618D"/>
    <w:rsid w:val="00E01293"/>
    <w:rsid w:val="00E027D1"/>
    <w:rsid w:val="00E339A4"/>
    <w:rsid w:val="00E4314F"/>
    <w:rsid w:val="00E453AA"/>
    <w:rsid w:val="00E56D93"/>
    <w:rsid w:val="00E73DFA"/>
    <w:rsid w:val="00E769FE"/>
    <w:rsid w:val="00EA2CBE"/>
    <w:rsid w:val="00EA5ED9"/>
    <w:rsid w:val="00EF4842"/>
    <w:rsid w:val="00F24CE1"/>
    <w:rsid w:val="00F3174A"/>
    <w:rsid w:val="00F32FEE"/>
    <w:rsid w:val="00F435AF"/>
    <w:rsid w:val="00F53E69"/>
    <w:rsid w:val="00F623B7"/>
    <w:rsid w:val="00F9693E"/>
    <w:rsid w:val="00F97867"/>
    <w:rsid w:val="603743AA"/>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uiPriority w:val="9"/>
    <w:rPr>
      <w:rFonts w:asciiTheme="majorHAnsi" w:hAnsiTheme="majorHAnsi" w:eastAsiaTheme="majorEastAsia"/>
      <w:b/>
      <w:bCs/>
      <w:kern w:val="32"/>
      <w:sz w:val="32"/>
      <w:szCs w:val="32"/>
    </w:rPr>
  </w:style>
  <w:style w:type="character" w:customStyle="1" w:styleId="22">
    <w:name w:val="标题 2 Char"/>
    <w:basedOn w:val="17"/>
    <w:link w:val="3"/>
    <w:semiHidden/>
    <w:uiPriority w:val="9"/>
    <w:rPr>
      <w:rFonts w:asciiTheme="majorHAnsi" w:hAnsiTheme="majorHAnsi" w:eastAsiaTheme="majorEastAsia"/>
      <w:b/>
      <w:bCs/>
      <w:i/>
      <w:iCs/>
      <w:sz w:val="28"/>
      <w:szCs w:val="28"/>
    </w:rPr>
  </w:style>
  <w:style w:type="character" w:customStyle="1" w:styleId="23">
    <w:name w:val="标题 3 Char"/>
    <w:basedOn w:val="17"/>
    <w:link w:val="4"/>
    <w:semiHidden/>
    <w:uiPriority w:val="9"/>
    <w:rPr>
      <w:rFonts w:asciiTheme="majorHAnsi" w:hAnsiTheme="majorHAnsi" w:eastAsiaTheme="majorEastAsia"/>
      <w:b/>
      <w:bCs/>
      <w:sz w:val="26"/>
      <w:szCs w:val="26"/>
    </w:rPr>
  </w:style>
  <w:style w:type="character" w:customStyle="1" w:styleId="24">
    <w:name w:val="标题 4 Char"/>
    <w:basedOn w:val="17"/>
    <w:link w:val="5"/>
    <w:semiHidden/>
    <w:uiPriority w:val="9"/>
    <w:rPr>
      <w:b/>
      <w:bCs/>
      <w:sz w:val="28"/>
      <w:szCs w:val="28"/>
    </w:rPr>
  </w:style>
  <w:style w:type="character" w:customStyle="1" w:styleId="25">
    <w:name w:val="标题 5 Char"/>
    <w:basedOn w:val="17"/>
    <w:link w:val="6"/>
    <w:semiHidden/>
    <w:uiPriority w:val="9"/>
    <w:rPr>
      <w:b/>
      <w:bCs/>
      <w:i/>
      <w:iCs/>
      <w:sz w:val="26"/>
      <w:szCs w:val="26"/>
    </w:rPr>
  </w:style>
  <w:style w:type="character" w:customStyle="1" w:styleId="26">
    <w:name w:val="标题 6 Char"/>
    <w:basedOn w:val="17"/>
    <w:link w:val="7"/>
    <w:semiHidden/>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D7B065-1965-4410-9D79-3C8EC2526955}">
  <ds:schemaRefs/>
</ds:datastoreItem>
</file>

<file path=docProps/app.xml><?xml version="1.0" encoding="utf-8"?>
<Properties xmlns="http://schemas.openxmlformats.org/officeDocument/2006/extended-properties" xmlns:vt="http://schemas.openxmlformats.org/officeDocument/2006/docPropsVTypes">
  <Template>Normal.dotm</Template>
  <Pages>5</Pages>
  <Words>274</Words>
  <Characters>1566</Characters>
  <Lines>13</Lines>
  <Paragraphs>3</Paragraphs>
  <TotalTime>363</TotalTime>
  <ScaleCrop>false</ScaleCrop>
  <LinksUpToDate>false</LinksUpToDate>
  <CharactersWithSpaces>1837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2019-09-11T11:23:31Z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